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95EEE" w14:textId="77777777" w:rsidR="008674EE" w:rsidRDefault="00C4498F">
      <w:pPr>
        <w:pStyle w:val="berschrift1"/>
        <w:spacing w:before="720" w:after="720" w:line="260" w:lineRule="exact"/>
        <w:rPr>
          <w:sz w:val="20"/>
        </w:rPr>
      </w:pPr>
      <w:r>
        <w:rPr>
          <w:sz w:val="20"/>
        </w:rPr>
        <w:t>COMUNICADO DE PRENSA</w:t>
      </w:r>
    </w:p>
    <w:p w14:paraId="5CFB9EA6" w14:textId="77777777" w:rsidR="008674EE" w:rsidRDefault="00C4498F">
      <w:pPr>
        <w:rPr>
          <w:rFonts w:ascii="Arial" w:hAnsi="Arial" w:cs="Arial"/>
          <w:b/>
          <w:bCs/>
        </w:rPr>
      </w:pPr>
      <w:r>
        <w:rPr>
          <w:rFonts w:ascii="Arial" w:hAnsi="Arial"/>
          <w:b/>
          <w:bCs/>
        </w:rPr>
        <w:t>Würth Elektronik amplía el programa de LED con WL-SMTW</w:t>
      </w:r>
    </w:p>
    <w:p w14:paraId="3C0221B8" w14:textId="77777777" w:rsidR="008674EE" w:rsidRDefault="00C4498F">
      <w:pPr>
        <w:pStyle w:val="Kopfzeile"/>
        <w:tabs>
          <w:tab w:val="clear" w:pos="4536"/>
          <w:tab w:val="clear" w:pos="9072"/>
        </w:tabs>
        <w:spacing w:before="360" w:after="360"/>
        <w:rPr>
          <w:rFonts w:ascii="Arial" w:hAnsi="Arial" w:cs="Arial"/>
          <w:b/>
          <w:bCs/>
          <w:sz w:val="36"/>
        </w:rPr>
      </w:pPr>
      <w:r>
        <w:rPr>
          <w:rFonts w:ascii="Arial" w:hAnsi="Arial"/>
          <w:b/>
          <w:bCs/>
          <w:color w:val="000000"/>
          <w:sz w:val="36"/>
        </w:rPr>
        <w:t>Colores para alimentar a las plantas</w:t>
      </w:r>
    </w:p>
    <w:p w14:paraId="38D45A66" w14:textId="704E3421" w:rsidR="008674EE" w:rsidRDefault="00C4498F">
      <w:pPr>
        <w:pStyle w:val="Textkrper"/>
        <w:spacing w:before="120" w:after="120" w:line="260" w:lineRule="exact"/>
        <w:jc w:val="both"/>
        <w:rPr>
          <w:rFonts w:ascii="Arial" w:hAnsi="Arial"/>
          <w:color w:val="000000"/>
        </w:rPr>
      </w:pPr>
      <w:r>
        <w:rPr>
          <w:rFonts w:ascii="Arial" w:hAnsi="Arial"/>
          <w:color w:val="000000"/>
        </w:rPr>
        <w:t xml:space="preserve">Waldenburg (Allemagna), 22 de octubre de 2020 – LED equipables para SMT en formato 2835 amplían nuestra gran gama de LED para horticultura de Würth Elektronik. Los tres LED de la serie </w:t>
      </w:r>
      <w:hyperlink r:id="rId8" w:history="1">
        <w:r>
          <w:rPr>
            <w:rStyle w:val="Hyperlink"/>
            <w:rFonts w:ascii="Arial" w:hAnsi="Arial"/>
          </w:rPr>
          <w:t>WL-SMTW</w:t>
        </w:r>
      </w:hyperlink>
      <w:r>
        <w:rPr>
          <w:rFonts w:ascii="Arial" w:hAnsi="Arial"/>
          <w:color w:val="000000"/>
        </w:rPr>
        <w:t xml:space="preserve"> emiten luz con las longitudes de onda 450 nm (Deep Blue), 660 nm (Hyper Red) y 730 nm (Far Red) – ideal para aplicaciones de control en el crecimiento de plantas mediante mezclas de luz específicas. Además de la agricultura vertical y la iluminación en invernaderos, los WL-SMTW, en combinación con otros LED del fabricante, también son adecuados para aplicaciones clásicas de LED, como pantallas y retroiluminación, gracias a su eficiencia, su reducido tamaño y su mínima generación de calor.</w:t>
      </w:r>
    </w:p>
    <w:p w14:paraId="459CCAA1" w14:textId="345D883F" w:rsidR="008674EE" w:rsidRDefault="00C4498F">
      <w:pPr>
        <w:pStyle w:val="Textkrper"/>
        <w:spacing w:before="120" w:after="120" w:line="260" w:lineRule="exact"/>
        <w:jc w:val="both"/>
        <w:rPr>
          <w:rFonts w:ascii="Arial" w:hAnsi="Arial"/>
          <w:b w:val="0"/>
          <w:bCs w:val="0"/>
        </w:rPr>
      </w:pPr>
      <w:r>
        <w:rPr>
          <w:rFonts w:ascii="Arial" w:hAnsi="Arial"/>
          <w:b w:val="0"/>
          <w:bCs w:val="0"/>
        </w:rPr>
        <w:t xml:space="preserve">Un flujo de fotones de hasta 0,94 µmol/s a una corriente de solo 150mA y unas reducidas dimensiones de 2,8 x 3,5 x 0,8 mm significa que ya no es necesario reemplazar un LED de alta potencia por 3 LED’s de media potencia. Esto permite aplicaciones en iluminación más extensas y homogéneas. Würth Elektronik apoya a los desarrolladores de soluciones de iluminación para la horticultura, a quienes va dirigido especialmente el producto WL-SMTW, con un </w:t>
      </w:r>
      <w:hyperlink r:id="rId9" w:history="1">
        <w:r>
          <w:rPr>
            <w:rStyle w:val="Hyperlink"/>
            <w:rFonts w:ascii="Arial" w:hAnsi="Arial"/>
            <w:b w:val="0"/>
            <w:bCs w:val="0"/>
          </w:rPr>
          <w:t>kit de desarrollo</w:t>
        </w:r>
      </w:hyperlink>
      <w:r>
        <w:rPr>
          <w:rFonts w:ascii="Arial" w:hAnsi="Arial"/>
          <w:b w:val="0"/>
          <w:bCs w:val="0"/>
        </w:rPr>
        <w:t>. En la plataforma de simulación en línea REDEXPERT está disponible un "Horticulador", en el que pueden crearse fórmulas de luz (</w:t>
      </w:r>
      <w:hyperlink r:id="rId10" w:anchor="/smodule/26" w:history="1">
        <w:r>
          <w:rPr>
            <w:rStyle w:val="Hyperlink"/>
            <w:rFonts w:ascii="Arial" w:hAnsi="Arial"/>
            <w:b w:val="0"/>
            <w:bCs w:val="0"/>
          </w:rPr>
          <w:t>https://redexpert.we-online.com/redexpert/#/smodule/26</w:t>
        </w:r>
      </w:hyperlink>
      <w:r>
        <w:rPr>
          <w:rFonts w:ascii="Arial" w:hAnsi="Arial"/>
          <w:b w:val="0"/>
          <w:bCs w:val="0"/>
        </w:rPr>
        <w:t>). Todos los LED de Würth Elektronik están disponibles en stock y se pueden proporcionan muestras gratuitas.</w:t>
      </w:r>
    </w:p>
    <w:p w14:paraId="2B165895" w14:textId="77777777" w:rsidR="008674EE" w:rsidRDefault="00C4498F">
      <w:pPr>
        <w:pStyle w:val="Textkrper"/>
        <w:spacing w:before="120" w:after="120" w:line="260" w:lineRule="exact"/>
        <w:jc w:val="both"/>
        <w:rPr>
          <w:rFonts w:ascii="Arial" w:hAnsi="Arial"/>
        </w:rPr>
      </w:pPr>
      <w:r>
        <w:rPr>
          <w:rFonts w:ascii="Arial" w:hAnsi="Arial"/>
        </w:rPr>
        <w:t>Cooperación con instituciones de investigación</w:t>
      </w:r>
    </w:p>
    <w:p w14:paraId="13511AA8" w14:textId="0340B820" w:rsidR="008674EE" w:rsidRDefault="00C4498F">
      <w:pPr>
        <w:pStyle w:val="Textkrper"/>
        <w:spacing w:before="120" w:after="120" w:line="260" w:lineRule="exact"/>
        <w:jc w:val="both"/>
        <w:rPr>
          <w:rFonts w:ascii="Arial" w:hAnsi="Arial"/>
          <w:b w:val="0"/>
          <w:bCs w:val="0"/>
        </w:rPr>
      </w:pPr>
      <w:r>
        <w:rPr>
          <w:rFonts w:ascii="Arial" w:hAnsi="Arial"/>
          <w:b w:val="0"/>
          <w:bCs w:val="0"/>
        </w:rPr>
        <w:t xml:space="preserve">«Con la nueva serie de LED ofrecemos una excelente relación calidad/precio y una alta luminosidad – el LED Deep Blue es único en el mercado en este sentido», afirma satisfecho Harun Özgür, Director de la División de Optoelectrónica de Würth Elektronik eiSos GmbH &amp; Co. KG sobre la nueva incorporación en el campo de la horticultura LED </w:t>
      </w:r>
      <w:r>
        <w:rPr>
          <w:rStyle w:val="Hyperlink"/>
          <w:rFonts w:ascii="Arial" w:hAnsi="Arial"/>
          <w:b w:val="0"/>
          <w:bCs w:val="0"/>
        </w:rPr>
        <w:t>(</w:t>
      </w:r>
      <w:hyperlink r:id="rId11" w:history="1">
        <w:r>
          <w:rPr>
            <w:rStyle w:val="Hyperlink"/>
            <w:rFonts w:ascii="Arial" w:hAnsi="Arial"/>
            <w:b w:val="0"/>
            <w:bCs w:val="0"/>
          </w:rPr>
          <w:t>http://www.we-online.com/leditgrow</w:t>
        </w:r>
      </w:hyperlink>
      <w:r>
        <w:rPr>
          <w:rStyle w:val="Hyperlink"/>
          <w:rFonts w:ascii="Arial" w:hAnsi="Arial"/>
          <w:b w:val="0"/>
          <w:bCs w:val="0"/>
        </w:rPr>
        <w:t>)</w:t>
      </w:r>
      <w:r>
        <w:rPr>
          <w:rFonts w:ascii="Arial" w:hAnsi="Arial"/>
          <w:b w:val="0"/>
          <w:bCs w:val="0"/>
        </w:rPr>
        <w:t xml:space="preserve">. Johann Waldherr, científico agrícola en el equipo LED de Würth Elektronik, explica: «La luz azul forma parte de muchos procesos de las plantas, como, p. ej., la formación de sustancias secundarias (metabólitos). La iluminación con espectros creados individualmente a partir de las diferentes longitudes de onda de los LED monocromáticos se hace aún más eficiente y al mismo tiempo más homogénea con los nuevos LED de potencia media. Con estos tres LED como equipamiento básico en combinación con otros LED de las series WL-SMTW, WL-SWTP y WL-SMDC se pueden crear fórmulas de luz específicas para varios parámetros de calidad del jardinero, como más flores, más frutos, más biomasa, más vitaminas y así sucesivamente. Como socio de innovación para nuestros clientes, realizamos una investigación intensiva, </w:t>
      </w:r>
      <w:r>
        <w:rPr>
          <w:rFonts w:ascii="Arial" w:hAnsi="Arial"/>
          <w:b w:val="0"/>
          <w:bCs w:val="0"/>
        </w:rPr>
        <w:lastRenderedPageBreak/>
        <w:t xml:space="preserve">hemos establecido una red de competencias con instituciones de investigación y compartimos nuestros conocimientos con nuestros clientes». Würth Elektronik mantiene cooperaciones de investigación con el Centro de Laboratorio de Invernaderos Dürnast de la Universidad Técnica de Múnich y con otras instituciones de investigación. </w:t>
      </w:r>
    </w:p>
    <w:p w14:paraId="2978604C" w14:textId="77777777" w:rsidR="008674EE" w:rsidRDefault="008674EE">
      <w:pPr>
        <w:pStyle w:val="Textkrper"/>
        <w:spacing w:before="120" w:after="120" w:line="260" w:lineRule="exact"/>
        <w:jc w:val="both"/>
        <w:rPr>
          <w:rFonts w:ascii="Arial" w:hAnsi="Arial"/>
          <w:b w:val="0"/>
          <w:bCs w:val="0"/>
        </w:rPr>
      </w:pPr>
    </w:p>
    <w:p w14:paraId="0A12FF1B" w14:textId="77777777" w:rsidR="008674EE" w:rsidRDefault="008674EE">
      <w:pPr>
        <w:pStyle w:val="Textkrper"/>
        <w:spacing w:before="120" w:after="120" w:line="260" w:lineRule="exact"/>
        <w:jc w:val="both"/>
        <w:rPr>
          <w:rFonts w:ascii="Arial" w:hAnsi="Arial"/>
          <w:b w:val="0"/>
          <w:bCs w:val="0"/>
        </w:rPr>
      </w:pPr>
    </w:p>
    <w:p w14:paraId="15D16AD4" w14:textId="77777777" w:rsidR="008674EE" w:rsidRDefault="008674EE">
      <w:pPr>
        <w:pStyle w:val="PITextkrper"/>
        <w:pBdr>
          <w:top w:val="single" w:sz="4" w:space="1" w:color="auto"/>
        </w:pBdr>
        <w:spacing w:before="240"/>
        <w:rPr>
          <w:b/>
          <w:sz w:val="18"/>
          <w:szCs w:val="18"/>
        </w:rPr>
      </w:pPr>
    </w:p>
    <w:p w14:paraId="356C4707" w14:textId="77777777" w:rsidR="00C4498F" w:rsidRPr="001E1BD8" w:rsidRDefault="00C4498F" w:rsidP="00C4498F">
      <w:pPr>
        <w:spacing w:after="120" w:line="280" w:lineRule="exact"/>
        <w:rPr>
          <w:rFonts w:ascii="Arial" w:hAnsi="Arial" w:cs="Arial"/>
          <w:b/>
          <w:bCs/>
          <w:sz w:val="18"/>
          <w:szCs w:val="18"/>
        </w:rPr>
      </w:pPr>
      <w:r w:rsidRPr="001E1BD8">
        <w:rPr>
          <w:rFonts w:ascii="Arial" w:hAnsi="Arial"/>
          <w:b/>
          <w:sz w:val="18"/>
        </w:rPr>
        <w:t>Imágenes disponibles</w:t>
      </w:r>
    </w:p>
    <w:p w14:paraId="15EDA9F8" w14:textId="77777777" w:rsidR="00C4498F" w:rsidRPr="001E1BD8" w:rsidRDefault="00C4498F" w:rsidP="00C4498F">
      <w:pPr>
        <w:spacing w:after="120" w:line="280" w:lineRule="exact"/>
        <w:rPr>
          <w:rStyle w:val="Hyperlink"/>
          <w:rFonts w:ascii="Arial" w:hAnsi="Arial"/>
          <w:sz w:val="18"/>
        </w:rPr>
      </w:pPr>
      <w:r w:rsidRPr="001E1BD8">
        <w:rPr>
          <w:rFonts w:ascii="Arial" w:hAnsi="Arial"/>
          <w:sz w:val="18"/>
        </w:rPr>
        <w:t>Las siguientes imágenes se encuentran disponibles para impresión y descarga en:</w:t>
      </w:r>
      <w:r w:rsidRPr="001E1BD8">
        <w:t xml:space="preserve"> </w:t>
      </w:r>
      <w:hyperlink r:id="rId12">
        <w:r w:rsidRPr="001E1BD8">
          <w:rPr>
            <w:rStyle w:val="Hyperlink"/>
            <w:rFonts w:ascii="Arial" w:hAnsi="Arial"/>
            <w:sz w:val="18"/>
          </w:rPr>
          <w:t>http://www.htcm.de/kk/wuerth</w:t>
        </w:r>
      </w:hyperlink>
    </w:p>
    <w:tbl>
      <w:tblPr>
        <w:tblW w:w="715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7"/>
        <w:gridCol w:w="4427"/>
      </w:tblGrid>
      <w:tr w:rsidR="008674EE" w14:paraId="688959EB" w14:textId="77777777">
        <w:trPr>
          <w:trHeight w:val="1701"/>
        </w:trPr>
        <w:tc>
          <w:tcPr>
            <w:tcW w:w="2727" w:type="dxa"/>
          </w:tcPr>
          <w:p w14:paraId="699CC4B9" w14:textId="7A64DB71" w:rsidR="008674EE" w:rsidRDefault="00C4498F">
            <w:pPr>
              <w:pStyle w:val="txt"/>
              <w:rPr>
                <w:b/>
                <w:bCs/>
                <w:sz w:val="18"/>
              </w:rPr>
            </w:pPr>
            <w:r>
              <w:rPr>
                <w:b/>
              </w:rPr>
              <w:br/>
            </w:r>
            <w:r>
              <w:rPr>
                <w:noProof/>
                <w:lang w:eastAsia="zh-CN"/>
              </w:rPr>
              <w:drawing>
                <wp:inline distT="0" distB="0" distL="0" distR="0" wp14:anchorId="23FC5224" wp14:editId="21E7E7E0">
                  <wp:extent cx="1657911" cy="180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460" t="15582" r="10460" b="15582"/>
                          <a:stretch/>
                        </pic:blipFill>
                        <pic:spPr bwMode="auto">
                          <a:xfrm>
                            <a:off x="0" y="0"/>
                            <a:ext cx="1657911" cy="1800000"/>
                          </a:xfrm>
                          <a:prstGeom prst="rect">
                            <a:avLst/>
                          </a:prstGeom>
                          <a:noFill/>
                          <a:ln>
                            <a:noFill/>
                          </a:ln>
                          <a:extLst>
                            <a:ext uri="{53640926-AAD7-44D8-BBD7-CCE9431645EC}">
                              <a14:shadowObscured xmlns:a14="http://schemas.microsoft.com/office/drawing/2010/main"/>
                            </a:ext>
                          </a:extLst>
                        </pic:spPr>
                      </pic:pic>
                    </a:graphicData>
                  </a:graphic>
                </wp:inline>
              </w:drawing>
            </w:r>
            <w:r>
              <w:rPr>
                <w:bCs/>
                <w:sz w:val="16"/>
                <w:szCs w:val="16"/>
              </w:rPr>
              <w:t xml:space="preserve">Fuente de la imagen: </w:t>
            </w:r>
            <w:r>
              <w:rPr>
                <w:bCs/>
                <w:sz w:val="16"/>
                <w:szCs w:val="16"/>
              </w:rPr>
              <w:br/>
              <w:t>Würth Elektronik</w:t>
            </w:r>
            <w:r>
              <w:rPr>
                <w:bCs/>
                <w:sz w:val="16"/>
                <w:szCs w:val="16"/>
              </w:rPr>
              <w:br/>
            </w:r>
            <w:r>
              <w:rPr>
                <w:bCs/>
                <w:sz w:val="16"/>
                <w:szCs w:val="16"/>
              </w:rPr>
              <w:br/>
            </w:r>
            <w:r>
              <w:rPr>
                <w:b/>
                <w:sz w:val="18"/>
                <w:szCs w:val="18"/>
              </w:rPr>
              <w:t>LED de la serie WL-SMTW</w:t>
            </w:r>
          </w:p>
          <w:p w14:paraId="3E33E624" w14:textId="77777777" w:rsidR="008674EE" w:rsidRDefault="008674EE">
            <w:pPr>
              <w:pStyle w:val="txt"/>
              <w:rPr>
                <w:b/>
                <w:bCs/>
                <w:sz w:val="18"/>
                <w:szCs w:val="18"/>
              </w:rPr>
            </w:pPr>
          </w:p>
        </w:tc>
        <w:tc>
          <w:tcPr>
            <w:tcW w:w="4427" w:type="dxa"/>
          </w:tcPr>
          <w:p w14:paraId="6810D35C" w14:textId="0A436D9F" w:rsidR="008674EE" w:rsidRDefault="00C4498F">
            <w:pPr>
              <w:pStyle w:val="txt"/>
              <w:rPr>
                <w:b/>
                <w:bCs/>
                <w:sz w:val="18"/>
                <w:highlight w:val="yellow"/>
              </w:rPr>
            </w:pPr>
            <w:r>
              <w:rPr>
                <w:b/>
              </w:rPr>
              <w:br/>
            </w:r>
            <w:r>
              <w:rPr>
                <w:noProof/>
                <w:lang w:eastAsia="zh-CN"/>
              </w:rPr>
              <w:drawing>
                <wp:inline distT="0" distB="0" distL="0" distR="0" wp14:anchorId="58B74A13" wp14:editId="0AA1A29B">
                  <wp:extent cx="2707835" cy="180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707835" cy="1800000"/>
                          </a:xfrm>
                          <a:prstGeom prst="rect">
                            <a:avLst/>
                          </a:prstGeom>
                          <a:noFill/>
                          <a:ln>
                            <a:noFill/>
                          </a:ln>
                        </pic:spPr>
                      </pic:pic>
                    </a:graphicData>
                  </a:graphic>
                </wp:inline>
              </w:drawing>
            </w:r>
            <w:r>
              <w:rPr>
                <w:b/>
                <w:bCs/>
                <w:sz w:val="18"/>
              </w:rPr>
              <w:br/>
            </w:r>
            <w:r>
              <w:rPr>
                <w:bCs/>
                <w:sz w:val="16"/>
                <w:szCs w:val="16"/>
              </w:rPr>
              <w:t xml:space="preserve">Fuente de la imagen: </w:t>
            </w:r>
            <w:r>
              <w:rPr>
                <w:bCs/>
                <w:sz w:val="16"/>
                <w:szCs w:val="16"/>
              </w:rPr>
              <w:br/>
              <w:t>Würth Elektronik</w:t>
            </w:r>
            <w:r>
              <w:rPr>
                <w:bCs/>
                <w:sz w:val="16"/>
                <w:szCs w:val="16"/>
              </w:rPr>
              <w:br/>
            </w:r>
            <w:r>
              <w:rPr>
                <w:bCs/>
                <w:sz w:val="16"/>
                <w:szCs w:val="16"/>
              </w:rPr>
              <w:br/>
            </w:r>
            <w:r>
              <w:rPr>
                <w:b/>
                <w:color w:val="auto"/>
                <w:sz w:val="18"/>
                <w:szCs w:val="18"/>
              </w:rPr>
              <w:t>Soluciones de luz para la horticultura con las longitudes de onda 450 nm, 660 nm y 730 nm</w:t>
            </w:r>
            <w:r>
              <w:rPr>
                <w:b/>
                <w:color w:val="auto"/>
                <w:sz w:val="18"/>
                <w:szCs w:val="18"/>
              </w:rPr>
              <w:br/>
            </w:r>
          </w:p>
        </w:tc>
      </w:tr>
    </w:tbl>
    <w:p w14:paraId="784B82FB" w14:textId="77777777" w:rsidR="008674EE" w:rsidRDefault="008674EE">
      <w:pPr>
        <w:rPr>
          <w:rFonts w:ascii="Arial" w:hAnsi="Arial"/>
          <w:b/>
          <w:bCs/>
          <w:sz w:val="18"/>
          <w:szCs w:val="18"/>
        </w:rPr>
      </w:pPr>
    </w:p>
    <w:p w14:paraId="03ECC5A2" w14:textId="77777777" w:rsidR="008674EE" w:rsidRDefault="008674EE">
      <w:pPr>
        <w:rPr>
          <w:rFonts w:ascii="Arial" w:hAnsi="Arial"/>
          <w:b/>
          <w:bCs/>
          <w:sz w:val="18"/>
          <w:szCs w:val="18"/>
        </w:rPr>
      </w:pPr>
    </w:p>
    <w:tbl>
      <w:tblPr>
        <w:tblW w:w="456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9"/>
      </w:tblGrid>
      <w:tr w:rsidR="008674EE" w14:paraId="6B925C42" w14:textId="77777777">
        <w:trPr>
          <w:trHeight w:val="1701"/>
        </w:trPr>
        <w:tc>
          <w:tcPr>
            <w:tcW w:w="4569" w:type="dxa"/>
          </w:tcPr>
          <w:p w14:paraId="2D668170" w14:textId="57D13212" w:rsidR="008674EE" w:rsidRDefault="00C4498F">
            <w:pPr>
              <w:pStyle w:val="txt"/>
              <w:rPr>
                <w:b/>
                <w:bCs/>
                <w:sz w:val="18"/>
                <w:highlight w:val="yellow"/>
              </w:rPr>
            </w:pPr>
            <w:r>
              <w:rPr>
                <w:color w:val="1F497D"/>
              </w:rPr>
              <w:br/>
            </w:r>
            <w:r>
              <w:rPr>
                <w:noProof/>
                <w:lang w:eastAsia="zh-CN"/>
              </w:rPr>
              <w:drawing>
                <wp:inline distT="0" distB="0" distL="0" distR="0" wp14:anchorId="75E7D6C4" wp14:editId="5A2721D3">
                  <wp:extent cx="2722880" cy="1537335"/>
                  <wp:effectExtent l="0" t="0" r="127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22880" cy="1537335"/>
                          </a:xfrm>
                          <a:prstGeom prst="rect">
                            <a:avLst/>
                          </a:prstGeom>
                          <a:noFill/>
                          <a:ln>
                            <a:noFill/>
                          </a:ln>
                        </pic:spPr>
                      </pic:pic>
                    </a:graphicData>
                  </a:graphic>
                </wp:inline>
              </w:drawing>
            </w:r>
            <w:r>
              <w:rPr>
                <w:b/>
                <w:bCs/>
                <w:sz w:val="18"/>
              </w:rPr>
              <w:br/>
            </w:r>
            <w:r>
              <w:rPr>
                <w:bCs/>
                <w:sz w:val="16"/>
                <w:szCs w:val="16"/>
              </w:rPr>
              <w:t xml:space="preserve">Fuente de la imagen: </w:t>
            </w:r>
            <w:r>
              <w:rPr>
                <w:bCs/>
                <w:sz w:val="16"/>
                <w:szCs w:val="16"/>
              </w:rPr>
              <w:br/>
              <w:t>Experimento Univ. Téc. Múnich /Würth Elektronik</w:t>
            </w:r>
          </w:p>
          <w:p w14:paraId="50807842" w14:textId="77777777" w:rsidR="008674EE" w:rsidRDefault="00C4498F">
            <w:pPr>
              <w:pStyle w:val="txt"/>
              <w:rPr>
                <w:b/>
                <w:bCs/>
                <w:sz w:val="18"/>
                <w:szCs w:val="18"/>
              </w:rPr>
            </w:pPr>
            <w:r>
              <w:rPr>
                <w:b/>
                <w:color w:val="auto"/>
                <w:sz w:val="18"/>
                <w:szCs w:val="18"/>
              </w:rPr>
              <w:t>La luz azul fomenta la acumulación de sustancias secundarias en las plantas.</w:t>
            </w:r>
            <w:r>
              <w:rPr>
                <w:color w:val="1F497D"/>
              </w:rPr>
              <w:br/>
            </w:r>
          </w:p>
        </w:tc>
      </w:tr>
    </w:tbl>
    <w:p w14:paraId="68EA3979" w14:textId="77777777" w:rsidR="008674EE" w:rsidRDefault="008674EE">
      <w:pPr>
        <w:rPr>
          <w:rFonts w:ascii="Arial" w:hAnsi="Arial"/>
          <w:b/>
          <w:bCs/>
          <w:sz w:val="18"/>
          <w:szCs w:val="18"/>
        </w:rPr>
      </w:pPr>
    </w:p>
    <w:p w14:paraId="7CABCD91" w14:textId="77777777" w:rsidR="008674EE" w:rsidRDefault="008674EE">
      <w:pPr>
        <w:rPr>
          <w:rFonts w:ascii="Arial" w:hAnsi="Arial"/>
          <w:b/>
          <w:bCs/>
          <w:sz w:val="18"/>
          <w:szCs w:val="18"/>
        </w:rPr>
      </w:pPr>
    </w:p>
    <w:p w14:paraId="65FA221E" w14:textId="77777777" w:rsidR="008674EE" w:rsidRDefault="008674EE">
      <w:pPr>
        <w:rPr>
          <w:rFonts w:ascii="Arial" w:hAnsi="Arial"/>
          <w:b/>
          <w:bCs/>
          <w:sz w:val="18"/>
          <w:szCs w:val="18"/>
        </w:rPr>
      </w:pPr>
    </w:p>
    <w:p w14:paraId="47FBCF36" w14:textId="77777777" w:rsidR="008674EE" w:rsidRDefault="008674EE">
      <w:pPr>
        <w:rPr>
          <w:rFonts w:ascii="Arial" w:hAnsi="Arial"/>
          <w:b/>
          <w:bCs/>
          <w:sz w:val="18"/>
          <w:szCs w:val="18"/>
        </w:rPr>
      </w:pPr>
    </w:p>
    <w:p w14:paraId="49E48A80" w14:textId="77777777" w:rsidR="008674EE" w:rsidRDefault="008674EE">
      <w:pPr>
        <w:rPr>
          <w:rFonts w:ascii="Arial" w:hAnsi="Arial"/>
          <w:b/>
          <w:bCs/>
          <w:sz w:val="18"/>
          <w:szCs w:val="18"/>
        </w:rPr>
      </w:pPr>
    </w:p>
    <w:p w14:paraId="5FA22757" w14:textId="77777777" w:rsidR="008674EE" w:rsidRDefault="008674EE">
      <w:pPr>
        <w:rPr>
          <w:rFonts w:ascii="Arial" w:hAnsi="Arial"/>
          <w:b/>
          <w:bCs/>
          <w:sz w:val="18"/>
          <w:szCs w:val="18"/>
        </w:rPr>
      </w:pPr>
    </w:p>
    <w:p w14:paraId="6ACC2273" w14:textId="77777777" w:rsidR="008674EE" w:rsidRDefault="00C4498F">
      <w:pPr>
        <w:pStyle w:val="PITextkrper"/>
        <w:rPr>
          <w:b/>
          <w:bCs/>
          <w:sz w:val="18"/>
          <w:szCs w:val="18"/>
        </w:rPr>
      </w:pPr>
      <w:r>
        <w:rPr>
          <w:b/>
          <w:bCs/>
          <w:sz w:val="18"/>
          <w:szCs w:val="18"/>
        </w:rPr>
        <w:t>Vídeo disponible</w:t>
      </w:r>
    </w:p>
    <w:p w14:paraId="34527A8F" w14:textId="77777777" w:rsidR="008674EE" w:rsidRDefault="00C4498F">
      <w:pPr>
        <w:pStyle w:val="PIAbspann"/>
        <w:jc w:val="left"/>
        <w:rPr>
          <w:szCs w:val="18"/>
          <w:highlight w:val="yellow"/>
        </w:rPr>
      </w:pPr>
      <w:r>
        <w:rPr>
          <w:szCs w:val="24"/>
        </w:rPr>
        <w:t>En nuestro canal de YouTube se encuentra un video sobre el producto:</w:t>
      </w:r>
      <w:r>
        <w:br/>
      </w:r>
      <w:hyperlink r:id="rId16" w:history="1">
        <w:r>
          <w:rPr>
            <w:rStyle w:val="Hyperlink"/>
          </w:rPr>
          <w:t>https://youtu.be/HIF-uNAQm5Y</w:t>
        </w:r>
      </w:hyperlink>
    </w:p>
    <w:tbl>
      <w:tblPr>
        <w:tblW w:w="4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1"/>
      </w:tblGrid>
      <w:tr w:rsidR="008674EE" w14:paraId="7A03012D" w14:textId="77777777">
        <w:tc>
          <w:tcPr>
            <w:tcW w:w="4831" w:type="dxa"/>
            <w:tcBorders>
              <w:top w:val="single" w:sz="4" w:space="0" w:color="auto"/>
              <w:left w:val="single" w:sz="4" w:space="0" w:color="auto"/>
              <w:bottom w:val="single" w:sz="4" w:space="0" w:color="auto"/>
              <w:right w:val="single" w:sz="4" w:space="0" w:color="auto"/>
            </w:tcBorders>
          </w:tcPr>
          <w:p w14:paraId="5B347F43" w14:textId="77777777" w:rsidR="008674EE" w:rsidRDefault="00C4498F">
            <w:pPr>
              <w:pStyle w:val="txt"/>
              <w:rPr>
                <w:b/>
                <w:bCs/>
                <w:sz w:val="18"/>
              </w:rPr>
            </w:pPr>
            <w:r>
              <w:br/>
            </w:r>
            <w:r>
              <w:rPr>
                <w:noProof/>
                <w:lang w:eastAsia="zh-CN"/>
              </w:rPr>
              <w:drawing>
                <wp:inline distT="0" distB="0" distL="0" distR="0" wp14:anchorId="2A4988F9" wp14:editId="621892D2">
                  <wp:extent cx="2865120" cy="1798320"/>
                  <wp:effectExtent l="0" t="0" r="0" b="0"/>
                  <wp:docPr id="1" name="Grafik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l="50266"/>
                          <a:stretch>
                            <a:fillRect/>
                          </a:stretch>
                        </pic:blipFill>
                        <pic:spPr bwMode="auto">
                          <a:xfrm>
                            <a:off x="0" y="0"/>
                            <a:ext cx="2865120" cy="1798320"/>
                          </a:xfrm>
                          <a:prstGeom prst="rect">
                            <a:avLst/>
                          </a:prstGeom>
                          <a:noFill/>
                          <a:ln>
                            <a:noFill/>
                          </a:ln>
                        </pic:spPr>
                      </pic:pic>
                    </a:graphicData>
                  </a:graphic>
                </wp:inline>
              </w:drawing>
            </w:r>
            <w:r>
              <w:rPr>
                <w:bCs/>
                <w:sz w:val="16"/>
                <w:szCs w:val="16"/>
              </w:rPr>
              <w:t xml:space="preserve">Fuente: Würth Elektronik </w:t>
            </w:r>
          </w:p>
          <w:p w14:paraId="080319D7" w14:textId="77777777" w:rsidR="008674EE" w:rsidRDefault="00C4498F">
            <w:pPr>
              <w:pStyle w:val="txt"/>
              <w:rPr>
                <w:b/>
                <w:bCs/>
                <w:sz w:val="18"/>
              </w:rPr>
            </w:pPr>
            <w:r>
              <w:rPr>
                <w:b/>
                <w:bCs/>
                <w:sz w:val="18"/>
              </w:rPr>
              <w:t>Lorandt Fölkel habla con Harun Özgür sobre LED para horticultura.</w:t>
            </w:r>
            <w:r>
              <w:rPr>
                <w:b/>
                <w:bCs/>
                <w:sz w:val="18"/>
              </w:rPr>
              <w:br/>
            </w:r>
          </w:p>
        </w:tc>
      </w:tr>
    </w:tbl>
    <w:p w14:paraId="605124C4" w14:textId="07C71502" w:rsidR="008674EE" w:rsidRDefault="008674EE">
      <w:pPr>
        <w:pStyle w:val="Textkrper"/>
        <w:spacing w:before="120" w:after="120" w:line="260" w:lineRule="exact"/>
        <w:jc w:val="both"/>
        <w:rPr>
          <w:rFonts w:ascii="Arial" w:hAnsi="Arial"/>
          <w:b w:val="0"/>
          <w:bCs w:val="0"/>
        </w:rPr>
      </w:pPr>
    </w:p>
    <w:p w14:paraId="32A570EB" w14:textId="77777777" w:rsidR="00C4498F" w:rsidRPr="001E1BD8" w:rsidRDefault="00C4498F" w:rsidP="00C4498F">
      <w:pPr>
        <w:pStyle w:val="Textkrper"/>
        <w:spacing w:before="120" w:after="120" w:line="260" w:lineRule="exact"/>
        <w:jc w:val="both"/>
        <w:rPr>
          <w:rFonts w:ascii="Arial" w:hAnsi="Arial"/>
          <w:b w:val="0"/>
          <w:bCs w:val="0"/>
        </w:rPr>
      </w:pPr>
    </w:p>
    <w:p w14:paraId="0FE9A63D" w14:textId="77777777" w:rsidR="00C4498F" w:rsidRPr="001E1BD8" w:rsidRDefault="00C4498F" w:rsidP="00C4498F">
      <w:pPr>
        <w:pStyle w:val="PITextkrper"/>
        <w:pBdr>
          <w:top w:val="single" w:sz="4" w:space="1" w:color="auto"/>
        </w:pBdr>
        <w:spacing w:before="240"/>
        <w:rPr>
          <w:b/>
          <w:sz w:val="18"/>
          <w:szCs w:val="18"/>
        </w:rPr>
      </w:pPr>
    </w:p>
    <w:p w14:paraId="119B34D9" w14:textId="77777777" w:rsidR="00C4498F" w:rsidRPr="001E1BD8" w:rsidRDefault="00C4498F" w:rsidP="00C4498F">
      <w:pPr>
        <w:pStyle w:val="Textkrper"/>
        <w:spacing w:before="120" w:after="120" w:line="276" w:lineRule="auto"/>
        <w:jc w:val="both"/>
        <w:rPr>
          <w:rFonts w:ascii="Arial" w:hAnsi="Arial"/>
        </w:rPr>
      </w:pPr>
      <w:bookmarkStart w:id="0" w:name="_Hlk529547556"/>
      <w:bookmarkStart w:id="1" w:name="_Hlk530469551"/>
      <w:r w:rsidRPr="001E1BD8">
        <w:rPr>
          <w:rFonts w:ascii="Arial" w:hAnsi="Arial"/>
        </w:rPr>
        <w:t xml:space="preserve">Acerca del Grupo Würth Elektronik eiSos </w:t>
      </w:r>
    </w:p>
    <w:p w14:paraId="0A4735A3" w14:textId="77777777" w:rsidR="00C4498F" w:rsidRPr="001E1BD8" w:rsidRDefault="00C4498F" w:rsidP="00C4498F">
      <w:pPr>
        <w:pStyle w:val="Textkrper"/>
        <w:spacing w:before="120" w:after="120" w:line="276" w:lineRule="auto"/>
        <w:jc w:val="both"/>
        <w:rPr>
          <w:rFonts w:ascii="Arial" w:hAnsi="Arial"/>
          <w:b w:val="0"/>
        </w:rPr>
      </w:pPr>
      <w:r w:rsidRPr="001E1BD8">
        <w:rPr>
          <w:rFonts w:ascii="Arial" w:hAnsi="Arial"/>
          <w:b w:val="0"/>
        </w:rPr>
        <w:t>El Grupo Würth Elektronik eiSos es un fabricante de componentes electrónicos y electromecánicos para la industria electrónica y facilitador tecnológico para soluciones electrónicas orientadas al futuro. Würth Elektronik eiSos es uno de los mayores fabricantes europeos de componentes pasivos y opera en 50 países. Sus plantas de producción en Europa, Asia y América del Norte suministran productos a un creciente número de clientes en todo el mundo.</w:t>
      </w:r>
    </w:p>
    <w:p w14:paraId="68E168A8" w14:textId="77777777" w:rsidR="00C4498F" w:rsidRPr="001E1BD8" w:rsidRDefault="00C4498F" w:rsidP="00C4498F">
      <w:pPr>
        <w:pStyle w:val="Textkrper"/>
        <w:spacing w:before="120" w:after="120" w:line="276" w:lineRule="auto"/>
        <w:jc w:val="both"/>
        <w:rPr>
          <w:rFonts w:ascii="Arial" w:hAnsi="Arial"/>
          <w:b w:val="0"/>
        </w:rPr>
      </w:pPr>
      <w:r w:rsidRPr="001E1BD8">
        <w:rPr>
          <w:rFonts w:ascii="Arial" w:hAnsi="Arial"/>
          <w:b w:val="0"/>
        </w:rPr>
        <w:t>La gama de productos incluye componentes de CEM, inductores, transformadores, componentes de RF, varistores, condensadores, resistencias, cuarzos, osciladores, módulos de potencia, transferencia de potencia inalámbrica, LED, sensores, conectores, elementos para fuentes de alimentación, interruptores, pulsadores, tecnología de conexión, portafusibles, así como soluciones para la transmisión inalámbrica de datos.</w:t>
      </w:r>
    </w:p>
    <w:p w14:paraId="2A78E8F2" w14:textId="77777777" w:rsidR="00C4498F" w:rsidRPr="001E1BD8" w:rsidRDefault="00C4498F" w:rsidP="00C4498F">
      <w:pPr>
        <w:pStyle w:val="Textkrper"/>
        <w:spacing w:before="120" w:after="120" w:line="276" w:lineRule="auto"/>
        <w:jc w:val="both"/>
        <w:rPr>
          <w:rFonts w:ascii="Arial" w:hAnsi="Arial"/>
          <w:b w:val="0"/>
        </w:rPr>
      </w:pPr>
      <w:r w:rsidRPr="001E1BD8">
        <w:rPr>
          <w:rFonts w:ascii="Arial" w:hAnsi="Arial"/>
          <w:b w:val="0"/>
        </w:rPr>
        <w:t xml:space="preserve">La orientación de servicio única de la empresa se caracteriza por la disponibilidad de todos los componentes del catálogo desde el almacén sin una cantidad mínima de pedido, muestras gratuitas y un amplio apoyo por parte del personal técnico de ventas y herramientas de selección. </w:t>
      </w:r>
    </w:p>
    <w:bookmarkEnd w:id="0"/>
    <w:p w14:paraId="7B8D65AD" w14:textId="77777777" w:rsidR="00C4498F" w:rsidRPr="001E1BD8" w:rsidRDefault="00C4498F" w:rsidP="00C4498F">
      <w:pPr>
        <w:pStyle w:val="Textkrper"/>
        <w:spacing w:before="120" w:after="120" w:line="276" w:lineRule="auto"/>
        <w:jc w:val="both"/>
        <w:rPr>
          <w:rFonts w:ascii="Arial" w:hAnsi="Arial"/>
          <w:b w:val="0"/>
        </w:rPr>
      </w:pPr>
      <w:r w:rsidRPr="001E1BD8">
        <w:rPr>
          <w:rFonts w:ascii="Arial" w:hAnsi="Arial"/>
          <w:b w:val="0"/>
        </w:rPr>
        <w:t xml:space="preserve">Gracias a la asociación tecnológica con el equipo de fórmula E Audi Sport ABT Schaeffler y el apoyo en la competición Formula Student, la empresa muestra su fuerza innovadora en el segmento de la eMobility (www.we-speed-up-the-future.com). </w:t>
      </w:r>
    </w:p>
    <w:p w14:paraId="7A828EE9" w14:textId="77777777" w:rsidR="00C4498F" w:rsidRPr="001E1BD8" w:rsidRDefault="00C4498F" w:rsidP="00C4498F">
      <w:pPr>
        <w:pStyle w:val="Textkrper"/>
        <w:spacing w:before="120" w:after="120" w:line="276" w:lineRule="auto"/>
        <w:jc w:val="both"/>
        <w:rPr>
          <w:rFonts w:ascii="Arial" w:hAnsi="Arial"/>
          <w:b w:val="0"/>
        </w:rPr>
      </w:pPr>
      <w:r w:rsidRPr="001E1BD8">
        <w:rPr>
          <w:rFonts w:ascii="Arial" w:hAnsi="Arial"/>
          <w:b w:val="0"/>
        </w:rPr>
        <w:lastRenderedPageBreak/>
        <w:t>Würth Elektronik forma parte del Grupo Würth, líder del mercado mundial de la tecnología de montaje y fijación. La empresa emplea a 7300 trabajadores y generó una facturación de 822 millones de euros en 2019.</w:t>
      </w:r>
    </w:p>
    <w:p w14:paraId="7DB18497" w14:textId="77777777" w:rsidR="00C4498F" w:rsidRPr="001E1BD8" w:rsidRDefault="00C4498F" w:rsidP="00C4498F">
      <w:pPr>
        <w:pStyle w:val="Textkrper"/>
        <w:spacing w:before="120" w:after="120" w:line="276" w:lineRule="auto"/>
        <w:rPr>
          <w:rFonts w:ascii="Arial" w:hAnsi="Arial"/>
          <w:b w:val="0"/>
        </w:rPr>
      </w:pPr>
      <w:r w:rsidRPr="001E1BD8">
        <w:rPr>
          <w:rFonts w:ascii="Arial" w:hAnsi="Arial"/>
          <w:b w:val="0"/>
        </w:rPr>
        <w:t>Würth Elektronik: more than you expect!</w:t>
      </w:r>
    </w:p>
    <w:p w14:paraId="1E38901D" w14:textId="77777777" w:rsidR="00C4498F" w:rsidRPr="001E1BD8" w:rsidRDefault="00C4498F" w:rsidP="00C4498F">
      <w:pPr>
        <w:pStyle w:val="Textkrper"/>
        <w:spacing w:before="120" w:after="120" w:line="276" w:lineRule="auto"/>
        <w:rPr>
          <w:rFonts w:ascii="Arial" w:hAnsi="Arial"/>
        </w:rPr>
      </w:pPr>
      <w:r w:rsidRPr="001E1BD8">
        <w:rPr>
          <w:rFonts w:ascii="Arial" w:hAnsi="Arial"/>
        </w:rPr>
        <w:t>Más información en www.we-online.com</w:t>
      </w:r>
    </w:p>
    <w:p w14:paraId="7AFD7ABA" w14:textId="77777777" w:rsidR="00C4498F" w:rsidRPr="001E1BD8" w:rsidRDefault="00C4498F" w:rsidP="00C4498F">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C4498F" w:rsidRPr="001E1BD8" w14:paraId="407D5C6E" w14:textId="77777777" w:rsidTr="00614C4D">
        <w:tc>
          <w:tcPr>
            <w:tcW w:w="3902" w:type="dxa"/>
            <w:hideMark/>
          </w:tcPr>
          <w:p w14:paraId="695A3BBC" w14:textId="77777777" w:rsidR="00C4498F" w:rsidRPr="001E1BD8" w:rsidRDefault="00C4498F" w:rsidP="00614C4D">
            <w:pPr>
              <w:pStyle w:val="Textkrper"/>
              <w:autoSpaceDE/>
              <w:adjustRightInd/>
              <w:spacing w:before="120" w:after="120" w:line="276" w:lineRule="auto"/>
              <w:rPr>
                <w:rFonts w:ascii="Arial" w:hAnsi="Arial"/>
                <w:bCs w:val="0"/>
                <w:szCs w:val="24"/>
              </w:rPr>
            </w:pPr>
            <w:r w:rsidRPr="001E1BD8">
              <w:rPr>
                <w:b w:val="0"/>
                <w:bCs w:val="0"/>
              </w:rPr>
              <w:br w:type="page"/>
            </w:r>
            <w:r w:rsidRPr="001E1BD8">
              <w:rPr>
                <w:rFonts w:ascii="Arial" w:hAnsi="Arial"/>
              </w:rPr>
              <w:t>Más información:</w:t>
            </w:r>
          </w:p>
          <w:p w14:paraId="45B29967" w14:textId="77777777" w:rsidR="00C4498F" w:rsidRPr="001E1BD8" w:rsidRDefault="00C4498F" w:rsidP="00614C4D">
            <w:pPr>
              <w:spacing w:before="120" w:after="120" w:line="276" w:lineRule="auto"/>
              <w:rPr>
                <w:rFonts w:ascii="Arial" w:hAnsi="Arial" w:cs="Arial"/>
                <w:sz w:val="20"/>
              </w:rPr>
            </w:pPr>
            <w:r w:rsidRPr="001E1BD8">
              <w:rPr>
                <w:rFonts w:ascii="Arial" w:hAnsi="Arial"/>
                <w:sz w:val="20"/>
              </w:rPr>
              <w:t>Würth Elektronik eiSos GmbH &amp; Co. KG</w:t>
            </w:r>
            <w:r w:rsidRPr="001E1BD8">
              <w:br/>
            </w:r>
            <w:r w:rsidRPr="001E1BD8">
              <w:rPr>
                <w:rFonts w:ascii="Arial" w:hAnsi="Arial"/>
                <w:sz w:val="20"/>
              </w:rPr>
              <w:t>Sarah Hurst</w:t>
            </w:r>
            <w:r w:rsidRPr="001E1BD8">
              <w:br/>
            </w:r>
            <w:r w:rsidRPr="001E1BD8">
              <w:rPr>
                <w:rFonts w:ascii="Arial" w:hAnsi="Arial"/>
                <w:sz w:val="20"/>
              </w:rPr>
              <w:t>Max-Eyth-Strasse 1</w:t>
            </w:r>
            <w:r w:rsidRPr="001E1BD8">
              <w:br/>
            </w:r>
            <w:r w:rsidRPr="001E1BD8">
              <w:rPr>
                <w:rFonts w:ascii="Arial" w:hAnsi="Arial"/>
                <w:sz w:val="20"/>
              </w:rPr>
              <w:t>74638 Waldenburg</w:t>
            </w:r>
            <w:r w:rsidRPr="001E1BD8">
              <w:rPr>
                <w:rFonts w:ascii="Arial" w:hAnsi="Arial"/>
                <w:sz w:val="20"/>
              </w:rPr>
              <w:br/>
              <w:t>Alemania</w:t>
            </w:r>
          </w:p>
          <w:p w14:paraId="6FB3D2CA" w14:textId="77777777" w:rsidR="00C4498F" w:rsidRPr="001E1BD8" w:rsidRDefault="00C4498F" w:rsidP="00614C4D">
            <w:pPr>
              <w:spacing w:before="120" w:after="120" w:line="276" w:lineRule="auto"/>
              <w:rPr>
                <w:rFonts w:ascii="Arial" w:hAnsi="Arial" w:cs="Arial"/>
                <w:bCs/>
                <w:sz w:val="20"/>
              </w:rPr>
            </w:pPr>
            <w:r w:rsidRPr="001E1BD8">
              <w:rPr>
                <w:rFonts w:ascii="Arial" w:hAnsi="Arial"/>
                <w:sz w:val="20"/>
              </w:rPr>
              <w:t>Tel.: +49 7942 945-5186</w:t>
            </w:r>
            <w:r w:rsidRPr="001E1BD8">
              <w:br/>
            </w:r>
            <w:r w:rsidRPr="001E1BD8">
              <w:rPr>
                <w:rFonts w:ascii="Arial" w:hAnsi="Arial"/>
                <w:sz w:val="20"/>
              </w:rPr>
              <w:t xml:space="preserve">Correo electrónico: </w:t>
            </w:r>
            <w:r w:rsidRPr="001E1BD8">
              <w:rPr>
                <w:rFonts w:ascii="Arial" w:hAnsi="Arial"/>
                <w:sz w:val="20"/>
              </w:rPr>
              <w:br/>
              <w:t>sarah.hurst@we-online.de</w:t>
            </w:r>
          </w:p>
          <w:p w14:paraId="60AA8F6F" w14:textId="77777777" w:rsidR="00C4498F" w:rsidRPr="001E1BD8" w:rsidRDefault="00C4498F" w:rsidP="00614C4D">
            <w:pPr>
              <w:spacing w:before="120" w:after="120" w:line="276" w:lineRule="auto"/>
              <w:rPr>
                <w:rFonts w:ascii="Arial" w:hAnsi="Arial" w:cs="Arial"/>
                <w:bCs/>
                <w:sz w:val="20"/>
              </w:rPr>
            </w:pPr>
            <w:r w:rsidRPr="001E1BD8">
              <w:rPr>
                <w:rFonts w:ascii="Arial" w:hAnsi="Arial"/>
                <w:sz w:val="20"/>
              </w:rPr>
              <w:t>www.we-online.de</w:t>
            </w:r>
          </w:p>
        </w:tc>
        <w:tc>
          <w:tcPr>
            <w:tcW w:w="3193" w:type="dxa"/>
            <w:hideMark/>
          </w:tcPr>
          <w:p w14:paraId="0A4D7F80" w14:textId="77777777" w:rsidR="00C4498F" w:rsidRPr="001E1BD8" w:rsidRDefault="00C4498F" w:rsidP="00614C4D">
            <w:pPr>
              <w:pStyle w:val="Textkrper"/>
              <w:tabs>
                <w:tab w:val="left" w:pos="1065"/>
              </w:tabs>
              <w:autoSpaceDE/>
              <w:adjustRightInd/>
              <w:spacing w:before="120" w:after="120" w:line="276" w:lineRule="auto"/>
              <w:rPr>
                <w:rFonts w:ascii="Arial" w:hAnsi="Arial"/>
                <w:bCs w:val="0"/>
                <w:szCs w:val="24"/>
              </w:rPr>
            </w:pPr>
            <w:r w:rsidRPr="001E1BD8">
              <w:rPr>
                <w:rFonts w:ascii="Arial" w:hAnsi="Arial"/>
              </w:rPr>
              <w:t>Contacto para la prensa:</w:t>
            </w:r>
          </w:p>
          <w:p w14:paraId="5A2113BC" w14:textId="77777777" w:rsidR="00C4498F" w:rsidRPr="001E1BD8" w:rsidRDefault="00C4498F" w:rsidP="00614C4D">
            <w:pPr>
              <w:tabs>
                <w:tab w:val="left" w:pos="1065"/>
              </w:tabs>
              <w:spacing w:before="120" w:after="120" w:line="276" w:lineRule="auto"/>
              <w:rPr>
                <w:rFonts w:ascii="Arial" w:hAnsi="Arial" w:cs="Arial"/>
                <w:bCs/>
                <w:sz w:val="20"/>
              </w:rPr>
            </w:pPr>
            <w:r w:rsidRPr="001E1BD8">
              <w:rPr>
                <w:rFonts w:ascii="Arial" w:hAnsi="Arial"/>
                <w:sz w:val="20"/>
              </w:rPr>
              <w:t>HighTech communications GmbH</w:t>
            </w:r>
            <w:r w:rsidRPr="001E1BD8">
              <w:br/>
            </w:r>
            <w:r w:rsidRPr="001E1BD8">
              <w:rPr>
                <w:rFonts w:ascii="Arial" w:hAnsi="Arial"/>
                <w:sz w:val="20"/>
              </w:rPr>
              <w:t>Brigitte Basilio</w:t>
            </w:r>
            <w:r w:rsidRPr="001E1BD8">
              <w:br/>
            </w:r>
            <w:r w:rsidRPr="001E1BD8">
              <w:rPr>
                <w:rFonts w:ascii="Arial" w:hAnsi="Arial"/>
                <w:sz w:val="20"/>
              </w:rPr>
              <w:t>Brunhamstrasse 21</w:t>
            </w:r>
            <w:r w:rsidRPr="001E1BD8">
              <w:br/>
            </w:r>
            <w:r w:rsidRPr="001E1BD8">
              <w:rPr>
                <w:rFonts w:ascii="Arial" w:hAnsi="Arial"/>
                <w:sz w:val="20"/>
              </w:rPr>
              <w:t>80339 München</w:t>
            </w:r>
            <w:r w:rsidRPr="001E1BD8">
              <w:rPr>
                <w:rFonts w:ascii="Arial" w:hAnsi="Arial"/>
                <w:sz w:val="20"/>
              </w:rPr>
              <w:br/>
              <w:t>Alemania</w:t>
            </w:r>
          </w:p>
          <w:p w14:paraId="41FF0304" w14:textId="77777777" w:rsidR="00C4498F" w:rsidRPr="001E1BD8" w:rsidRDefault="00C4498F" w:rsidP="00614C4D">
            <w:pPr>
              <w:tabs>
                <w:tab w:val="left" w:pos="1065"/>
              </w:tabs>
              <w:spacing w:before="120" w:after="120" w:line="276" w:lineRule="auto"/>
              <w:rPr>
                <w:rFonts w:ascii="Arial" w:hAnsi="Arial" w:cs="Arial"/>
                <w:bCs/>
                <w:sz w:val="20"/>
              </w:rPr>
            </w:pPr>
            <w:r w:rsidRPr="001E1BD8">
              <w:rPr>
                <w:rFonts w:ascii="Arial" w:hAnsi="Arial"/>
                <w:sz w:val="20"/>
              </w:rPr>
              <w:t>Tel.: +49 89 500778-20</w:t>
            </w:r>
            <w:r w:rsidRPr="001E1BD8">
              <w:br/>
            </w:r>
            <w:r w:rsidRPr="001E1BD8">
              <w:rPr>
                <w:rFonts w:ascii="Arial" w:hAnsi="Arial"/>
                <w:sz w:val="20"/>
              </w:rPr>
              <w:t xml:space="preserve">Fax: +49 89 500778-77 </w:t>
            </w:r>
            <w:r w:rsidRPr="001E1BD8">
              <w:br/>
            </w:r>
            <w:r w:rsidRPr="001E1BD8">
              <w:rPr>
                <w:rFonts w:ascii="Arial" w:hAnsi="Arial"/>
                <w:sz w:val="20"/>
              </w:rPr>
              <w:t>Correo electrónico: b.basilio@htcm.de</w:t>
            </w:r>
          </w:p>
          <w:p w14:paraId="6F23839F" w14:textId="77777777" w:rsidR="00C4498F" w:rsidRPr="001E1BD8" w:rsidRDefault="00C4498F" w:rsidP="00614C4D">
            <w:pPr>
              <w:tabs>
                <w:tab w:val="left" w:pos="1065"/>
              </w:tabs>
              <w:spacing w:before="120" w:after="120" w:line="276" w:lineRule="auto"/>
              <w:rPr>
                <w:rFonts w:ascii="Arial" w:hAnsi="Arial" w:cs="Arial"/>
                <w:bCs/>
                <w:sz w:val="20"/>
              </w:rPr>
            </w:pPr>
            <w:r w:rsidRPr="001E1BD8">
              <w:rPr>
                <w:rFonts w:ascii="Arial" w:hAnsi="Arial"/>
                <w:sz w:val="20"/>
              </w:rPr>
              <w:t xml:space="preserve">www.htcm.de </w:t>
            </w:r>
          </w:p>
        </w:tc>
      </w:tr>
      <w:bookmarkEnd w:id="1"/>
    </w:tbl>
    <w:p w14:paraId="244FB092" w14:textId="77777777" w:rsidR="00C4498F" w:rsidRPr="001E1BD8" w:rsidRDefault="00C4498F" w:rsidP="00C4498F">
      <w:pPr>
        <w:pStyle w:val="Textkrper"/>
        <w:spacing w:before="120" w:after="120" w:line="276" w:lineRule="auto"/>
      </w:pPr>
    </w:p>
    <w:p w14:paraId="203584E4" w14:textId="77777777" w:rsidR="00C4498F" w:rsidRPr="001E1BD8" w:rsidRDefault="00C4498F" w:rsidP="00C4498F">
      <w:pPr>
        <w:pStyle w:val="Textkrper"/>
        <w:spacing w:before="120" w:after="120" w:line="276" w:lineRule="auto"/>
      </w:pPr>
    </w:p>
    <w:p w14:paraId="19E99FD5" w14:textId="77777777" w:rsidR="00C4498F" w:rsidRDefault="00C4498F">
      <w:pPr>
        <w:pStyle w:val="Textkrper"/>
        <w:spacing w:before="120" w:after="120" w:line="260" w:lineRule="exact"/>
        <w:jc w:val="both"/>
        <w:rPr>
          <w:rFonts w:ascii="Arial" w:hAnsi="Arial"/>
          <w:b w:val="0"/>
          <w:bCs w:val="0"/>
        </w:rPr>
      </w:pPr>
    </w:p>
    <w:sectPr w:rsidR="00C4498F">
      <w:headerReference w:type="default" r:id="rId18"/>
      <w:footerReference w:type="default" r:id="rId19"/>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F09B5" w14:textId="77777777" w:rsidR="008674EE" w:rsidRDefault="00C4498F">
      <w:r>
        <w:separator/>
      </w:r>
    </w:p>
  </w:endnote>
  <w:endnote w:type="continuationSeparator" w:id="0">
    <w:p w14:paraId="5A875C1A" w14:textId="77777777" w:rsidR="008674EE" w:rsidRDefault="00C4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5D58F" w14:textId="69ECE434" w:rsidR="008674EE" w:rsidRDefault="00C4498F">
    <w:pPr>
      <w:pStyle w:val="Fuzeile"/>
      <w:tabs>
        <w:tab w:val="clear" w:pos="4536"/>
        <w:tab w:val="clear" w:pos="9072"/>
        <w:tab w:val="right" w:pos="7088"/>
      </w:tabs>
      <w:rPr>
        <w:rFonts w:ascii="Arial" w:hAnsi="Arial" w:cs="Arial"/>
        <w:noProof/>
        <w:snapToGrid w:val="0"/>
        <w:sz w:val="16"/>
        <w:szCs w:val="16"/>
        <w:lang w:val="de-DE"/>
      </w:rPr>
    </w:pPr>
    <w:r>
      <w:rPr>
        <w:rFonts w:ascii="Arial" w:hAnsi="Arial" w:cs="Arial"/>
        <w:snapToGrid w:val="0"/>
        <w:sz w:val="16"/>
        <w:szCs w:val="16"/>
      </w:rPr>
      <w:fldChar w:fldCharType="begin"/>
    </w:r>
    <w:r>
      <w:rPr>
        <w:rFonts w:ascii="Arial" w:hAnsi="Arial" w:cs="Arial"/>
        <w:snapToGrid w:val="0"/>
        <w:sz w:val="16"/>
        <w:szCs w:val="16"/>
        <w:lang w:val="de-DE"/>
      </w:rPr>
      <w:instrText xml:space="preserve"> FILENAME  \* MERGEFORMAT </w:instrText>
    </w:r>
    <w:r>
      <w:rPr>
        <w:rFonts w:ascii="Arial" w:hAnsi="Arial" w:cs="Arial"/>
        <w:snapToGrid w:val="0"/>
        <w:sz w:val="16"/>
        <w:szCs w:val="16"/>
      </w:rPr>
      <w:fldChar w:fldCharType="separate"/>
    </w:r>
    <w:r w:rsidR="000C2718">
      <w:rPr>
        <w:rFonts w:ascii="Arial" w:hAnsi="Arial" w:cs="Arial"/>
        <w:noProof/>
        <w:snapToGrid w:val="0"/>
        <w:sz w:val="16"/>
        <w:szCs w:val="16"/>
        <w:lang w:val="de-DE"/>
      </w:rPr>
      <w:t>WTH1PI850_es.docx</w:t>
    </w:r>
    <w:r>
      <w:rPr>
        <w:rFonts w:ascii="Arial" w:hAnsi="Arial" w:cs="Arial"/>
        <w:snapToGrid w:val="0"/>
        <w:sz w:val="16"/>
        <w:szCs w:val="16"/>
      </w:rPr>
      <w:fldChar w:fldCharType="end"/>
    </w:r>
    <w:r>
      <w:rPr>
        <w:rFonts w:ascii="Arial" w:hAnsi="Arial"/>
        <w:snapToGrid w:val="0"/>
        <w:sz w:val="16"/>
        <w:szCs w:val="16"/>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55E60" w14:textId="77777777" w:rsidR="008674EE" w:rsidRDefault="00C4498F">
      <w:r>
        <w:separator/>
      </w:r>
    </w:p>
  </w:footnote>
  <w:footnote w:type="continuationSeparator" w:id="0">
    <w:p w14:paraId="2EADA881" w14:textId="77777777" w:rsidR="008674EE" w:rsidRDefault="00C44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17B1E" w14:textId="77777777" w:rsidR="008674EE" w:rsidRDefault="00C4498F">
    <w:pPr>
      <w:pStyle w:val="Kopfzeile"/>
      <w:tabs>
        <w:tab w:val="clear" w:pos="9072"/>
        <w:tab w:val="right" w:pos="9498"/>
      </w:tabs>
    </w:pPr>
    <w:r>
      <w:rPr>
        <w:noProof/>
        <w:lang w:eastAsia="zh-CN"/>
      </w:rPr>
      <w:drawing>
        <wp:anchor distT="0" distB="0" distL="114300" distR="114300" simplePos="0" relativeHeight="251657728" behindDoc="0" locked="0" layoutInCell="1" allowOverlap="1" wp14:anchorId="441BE519" wp14:editId="7D30CCFD">
          <wp:simplePos x="0" y="0"/>
          <wp:positionH relativeFrom="column">
            <wp:posOffset>-52705</wp:posOffset>
          </wp:positionH>
          <wp:positionV relativeFrom="paragraph">
            <wp:posOffset>-97790</wp:posOffset>
          </wp:positionV>
          <wp:extent cx="6545580" cy="1080135"/>
          <wp:effectExtent l="0" t="0" r="7620" b="5715"/>
          <wp:wrapNone/>
          <wp:docPr id="6" name="Bild 6" descr="WE+Balk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Balken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5580" cy="10801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4EE"/>
    <w:rsid w:val="000C2718"/>
    <w:rsid w:val="008674EE"/>
    <w:rsid w:val="00C4498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29148C4"/>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Pr>
      <w:rFonts w:ascii="Verdana" w:hAnsi="Verdana" w:cs="Arial"/>
      <w:b/>
      <w:bCs/>
    </w:rPr>
  </w:style>
  <w:style w:type="character" w:customStyle="1" w:styleId="berschrift1Zchn">
    <w:name w:val="Überschrift 1 Zchn"/>
    <w:link w:val="berschrift1"/>
    <w:rPr>
      <w:rFonts w:ascii="Arial" w:hAnsi="Arial" w:cs="Arial"/>
      <w:b/>
      <w:bCs/>
      <w:kern w:val="32"/>
      <w:sz w:val="32"/>
      <w:szCs w:val="32"/>
    </w:rPr>
  </w:style>
  <w:style w:type="paragraph" w:customStyle="1" w:styleId="PITextkrper">
    <w:name w:val="PI_Textkörper"/>
    <w:basedOn w:val="Standard"/>
    <w:link w:val="PITextkrperZchn"/>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character" w:customStyle="1" w:styleId="FuzeileZchn">
    <w:name w:val="Fußzeile Zchn"/>
    <w:link w:val="Fuzeile"/>
    <w:rPr>
      <w:sz w:val="24"/>
      <w:szCs w:val="24"/>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character" w:customStyle="1" w:styleId="berschrift3Zchn">
    <w:name w:val="Überschrift 3 Zchn"/>
    <w:link w:val="berschrift3"/>
    <w:semiHidden/>
    <w:rPr>
      <w:rFonts w:ascii="Cambria" w:eastAsia="Times New Roman" w:hAnsi="Cambria" w:cs="Times New Roman"/>
      <w:b/>
      <w:bCs/>
      <w:sz w:val="26"/>
      <w:szCs w:val="26"/>
    </w:rPr>
  </w:style>
  <w:style w:type="paragraph" w:styleId="berarbeitung">
    <w:name w:val="Revision"/>
    <w:hidden/>
    <w:uiPriority w:val="99"/>
    <w:semiHidden/>
    <w:rPr>
      <w:sz w:val="24"/>
      <w:szCs w:val="24"/>
    </w:rPr>
  </w:style>
  <w:style w:type="character" w:customStyle="1" w:styleId="PITextkrperZchn">
    <w:name w:val="PI_Textkörper Zchn"/>
    <w:link w:val="PITextkrper"/>
    <w:locked/>
    <w:rPr>
      <w:rFonts w:ascii="Arial" w:hAnsi="Arial"/>
      <w:sz w:val="22"/>
      <w:lang w:val="es-ES"/>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BesuchterLink">
    <w:name w:val="FollowedHyperlink"/>
    <w:basedOn w:val="Absatz-Standardschriftart"/>
    <w:rPr>
      <w:color w:val="954F72" w:themeColor="followedHyperlink"/>
      <w:u w:val="single"/>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257174214">
      <w:bodyDiv w:val="1"/>
      <w:marLeft w:val="0"/>
      <w:marRight w:val="0"/>
      <w:marTop w:val="0"/>
      <w:marBottom w:val="0"/>
      <w:divBdr>
        <w:top w:val="none" w:sz="0" w:space="0" w:color="auto"/>
        <w:left w:val="none" w:sz="0" w:space="0" w:color="auto"/>
        <w:bottom w:val="none" w:sz="0" w:space="0" w:color="auto"/>
        <w:right w:val="none" w:sz="0" w:space="0" w:color="auto"/>
      </w:divBdr>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5852893">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1944336872">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 w:id="206991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online.de/katalog/en/WL_SMTW_HORTICULTURE_" TargetMode="Externa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tcm.de/kk/wuerth/?lang=es"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youtu.be/HIF-uNAQm5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online.com/leditgrow"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redexpert.we-online.com/redexper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e-online.de/katalog/en/LIGHTING_DEVELOPMENT_KIT"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8BD26-ADBF-40A9-8176-C3FD52B9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869</Words>
  <Characters>5462</Characters>
  <Application>Microsoft Office Word</Application>
  <DocSecurity>0</DocSecurity>
  <Lines>45</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Pressemitteilung</vt:lpstr>
      <vt:lpstr>Pressemitteilung</vt:lpstr>
      <vt:lpstr>Pressemitteilung</vt:lpstr>
    </vt:vector>
  </TitlesOfParts>
  <Company/>
  <LinksUpToDate>false</LinksUpToDate>
  <CharactersWithSpaces>6319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Peter Prasilik</cp:lastModifiedBy>
  <cp:revision>12</cp:revision>
  <cp:lastPrinted>2020-09-29T07:18:00Z</cp:lastPrinted>
  <dcterms:created xsi:type="dcterms:W3CDTF">2020-10-12T09:42:00Z</dcterms:created>
  <dcterms:modified xsi:type="dcterms:W3CDTF">2020-10-22T08:04:00Z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