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E00A0" w14:textId="77777777" w:rsidR="00294004" w:rsidRDefault="002E4AF9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FFAC0A3" w14:textId="77777777" w:rsidR="00294004" w:rsidRDefault="002E4AF9">
      <w:pPr>
        <w:rPr>
          <w:rFonts w:ascii="Arial" w:hAnsi="Arial" w:cs="Arial"/>
          <w:b/>
          <w:bCs/>
        </w:rPr>
      </w:pPr>
      <w:r w:rsidRPr="002E4AF9">
        <w:rPr>
          <w:rFonts w:ascii="Arial" w:hAnsi="Arial"/>
          <w:b/>
          <w:bCs/>
        </w:rPr>
        <w:t xml:space="preserve">La </w:t>
      </w:r>
      <w:r>
        <w:rPr>
          <w:rFonts w:ascii="Arial" w:hAnsi="Arial"/>
          <w:b/>
          <w:bCs/>
        </w:rPr>
        <w:t xml:space="preserve">Deutsche Telekom IoT ha inserito il modulo GNSS di Würth Elektronik nello “IoT Digital </w:t>
      </w:r>
      <w:proofErr w:type="spellStart"/>
      <w:r>
        <w:rPr>
          <w:rFonts w:ascii="Arial" w:hAnsi="Arial"/>
          <w:b/>
          <w:bCs/>
        </w:rPr>
        <w:t>Shelf</w:t>
      </w:r>
      <w:proofErr w:type="spellEnd"/>
      <w:r>
        <w:rPr>
          <w:rFonts w:ascii="Arial" w:hAnsi="Arial"/>
          <w:b/>
          <w:bCs/>
        </w:rPr>
        <w:t xml:space="preserve">” </w:t>
      </w:r>
    </w:p>
    <w:p w14:paraId="21BCDDC5" w14:textId="77777777" w:rsidR="00294004" w:rsidRDefault="002E4AF9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Selezione di hardware certificato</w:t>
      </w:r>
    </w:p>
    <w:p w14:paraId="65949D04" w14:textId="68946513" w:rsidR="00294004" w:rsidRDefault="002E4AF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15 aprile 2021 – </w:t>
      </w:r>
      <w:r>
        <w:rPr>
          <w:rFonts w:ascii="Arial" w:hAnsi="Arial"/>
        </w:rPr>
        <w:t>Deutsche Telekom IoT GmbH ha certificato i primi due prodotti di Würth Elektronik e li ha inseriti nel proprio “</w:t>
      </w:r>
      <w:hyperlink r:id="rId8" w:history="1">
        <w:r>
          <w:rPr>
            <w:rStyle w:val="Hyperlink"/>
            <w:rFonts w:ascii="Arial" w:hAnsi="Arial"/>
          </w:rPr>
          <w:t xml:space="preserve">IoT Digital </w:t>
        </w:r>
        <w:proofErr w:type="spellStart"/>
        <w:r>
          <w:rPr>
            <w:rStyle w:val="Hyperlink"/>
            <w:rFonts w:ascii="Arial" w:hAnsi="Arial"/>
          </w:rPr>
          <w:t>Shelf</w:t>
        </w:r>
        <w:proofErr w:type="spellEnd"/>
      </w:hyperlink>
      <w:r>
        <w:rPr>
          <w:rFonts w:ascii="Arial" w:hAnsi="Arial"/>
        </w:rPr>
        <w:t xml:space="preserve">”. L’affiliata Telekom raccoglie </w:t>
      </w:r>
      <w:r w:rsidRPr="002E4AF9">
        <w:rPr>
          <w:rFonts w:ascii="Arial" w:hAnsi="Arial"/>
        </w:rPr>
        <w:t xml:space="preserve">qui </w:t>
      </w:r>
      <w:r>
        <w:rPr>
          <w:rFonts w:ascii="Arial" w:hAnsi="Arial"/>
        </w:rPr>
        <w:t xml:space="preserve">prodotti selezionati presenti sul mercato, allo scopo di completare la propria offerta di hardware certificati e poter offrire ai propri clienti soluzioni end-to-end. Raccomandati da Deutsche Telekom IoT nel settore delle tecnologie per la localizzazione: i moduli GNSS Erinome I </w:t>
      </w:r>
      <w:proofErr w:type="gramStart"/>
      <w:r>
        <w:rPr>
          <w:rFonts w:ascii="Arial" w:hAnsi="Arial"/>
        </w:rPr>
        <w:t>e</w:t>
      </w:r>
      <w:proofErr w:type="gramEnd"/>
      <w:r>
        <w:rPr>
          <w:rFonts w:ascii="Arial" w:hAnsi="Arial"/>
        </w:rPr>
        <w:t xml:space="preserve"> Erinome II.</w:t>
      </w:r>
    </w:p>
    <w:p w14:paraId="1158831D" w14:textId="77777777" w:rsidR="00294004" w:rsidRDefault="002E4A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Per compiti di localizzazione e navigazione, la serie Erinome utilizza tutti e quattro i sistemi di navigazione satellitare globali alla velocità massima: GPS, </w:t>
      </w:r>
      <w:proofErr w:type="spellStart"/>
      <w:r>
        <w:rPr>
          <w:rFonts w:ascii="Arial" w:hAnsi="Arial"/>
          <w:b w:val="0"/>
          <w:bCs w:val="0"/>
        </w:rPr>
        <w:t>GLONASS</w:t>
      </w:r>
      <w:proofErr w:type="spellEnd"/>
      <w:r>
        <w:rPr>
          <w:rFonts w:ascii="Arial" w:hAnsi="Arial"/>
          <w:b w:val="0"/>
          <w:bCs w:val="0"/>
        </w:rPr>
        <w:t xml:space="preserve">, Galileo e </w:t>
      </w:r>
      <w:proofErr w:type="spellStart"/>
      <w:r>
        <w:rPr>
          <w:rFonts w:ascii="Arial" w:hAnsi="Arial"/>
          <w:b w:val="0"/>
          <w:bCs w:val="0"/>
        </w:rPr>
        <w:t>BeiDou</w:t>
      </w:r>
      <w:proofErr w:type="spellEnd"/>
      <w:r>
        <w:rPr>
          <w:rFonts w:ascii="Arial" w:hAnsi="Arial"/>
          <w:b w:val="0"/>
          <w:bCs w:val="0"/>
        </w:rPr>
        <w:t xml:space="preserve">. Entrambi i moduli possono essere utilizzati in modalità di risparmio energetico, caratteristica importante per dispositivi mobili e a batteria. Oltre alla consueta interfaccia UART, i moduli offrono anche le interfacce I²C e SPI. Erinome-I (18 mm × 18 mm × 6,4 mm) è la versione con antenna integrata, mentre Erinome-II (7 mm × 7 mm × 1,6 mm) è quella senza antenna. Per la scelta dell'antenna è disponibile documentazione tecnica completa, oltre a consulenza gratuita su richiesta da parte di Würth Elektronik. Viene inoltre offerta un’antenna attiva, conforme alla classe di protezione </w:t>
      </w:r>
      <w:r w:rsidRPr="002E4AF9">
        <w:rPr>
          <w:rFonts w:ascii="Arial" w:hAnsi="Arial"/>
          <w:b w:val="0"/>
          <w:bCs w:val="0"/>
        </w:rPr>
        <w:t xml:space="preserve">secondo la </w:t>
      </w:r>
      <w:r>
        <w:rPr>
          <w:rFonts w:ascii="Arial" w:hAnsi="Arial"/>
          <w:b w:val="0"/>
          <w:bCs w:val="0"/>
        </w:rPr>
        <w:t>norma IP66. I moduli GNSS sono disponibili a magazzino senza limite minimo d'ordine.</w:t>
      </w:r>
    </w:p>
    <w:p w14:paraId="0BAAAF27" w14:textId="77777777" w:rsidR="00294004" w:rsidRPr="002E4AF9" w:rsidRDefault="002E4A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2E4AF9">
        <w:rPr>
          <w:rFonts w:ascii="Arial" w:hAnsi="Arial"/>
          <w:b w:val="0"/>
          <w:bCs w:val="0"/>
        </w:rPr>
        <w:t xml:space="preserve">Entrambi i moduli GNSS fanno inoltre parte di “IoT Solution </w:t>
      </w:r>
      <w:proofErr w:type="spellStart"/>
      <w:r w:rsidRPr="002E4AF9">
        <w:rPr>
          <w:rFonts w:ascii="Arial" w:hAnsi="Arial"/>
          <w:b w:val="0"/>
          <w:bCs w:val="0"/>
        </w:rPr>
        <w:t>Optimizer</w:t>
      </w:r>
      <w:proofErr w:type="spellEnd"/>
      <w:r w:rsidRPr="002E4AF9">
        <w:rPr>
          <w:rFonts w:ascii="Arial" w:hAnsi="Arial"/>
          <w:b w:val="0"/>
          <w:bCs w:val="0"/>
        </w:rPr>
        <w:t>” di Deutsche Telekom IoT, uno strumento con cui le aziende possono modellare e verificare equivalenti digitali delle loro idee commerciali IoT, in maniera efficiente dal punto di vista dei costi e senza rischi.</w:t>
      </w:r>
    </w:p>
    <w:p w14:paraId="2E0E26D0" w14:textId="77777777" w:rsidR="00294004" w:rsidRDefault="002E4AF9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Facile da integrare</w:t>
      </w:r>
    </w:p>
    <w:p w14:paraId="6FF3C384" w14:textId="77777777" w:rsidR="00294004" w:rsidRDefault="002E4AF9">
      <w:pPr>
        <w:pStyle w:val="Textkrper"/>
        <w:spacing w:before="120" w:after="120" w:line="260" w:lineRule="exact"/>
        <w:jc w:val="both"/>
      </w:pPr>
      <w:r>
        <w:rPr>
          <w:rFonts w:ascii="Arial" w:hAnsi="Arial"/>
          <w:b w:val="0"/>
          <w:bCs w:val="0"/>
        </w:rPr>
        <w:t xml:space="preserve">I moduli GNSS di Würth Elektronik consentono di soddisfare molteplici esigenze delle applicazioni basate sul posizionamento: tracking di container, navigazione di macchine agricole e droni, gestione delle flotte, cartografia, </w:t>
      </w:r>
      <w:proofErr w:type="spellStart"/>
      <w:r w:rsidRPr="002E4AF9">
        <w:rPr>
          <w:rFonts w:ascii="Arial" w:hAnsi="Arial"/>
          <w:b w:val="0"/>
          <w:bCs w:val="0"/>
        </w:rPr>
        <w:t>geotagging</w:t>
      </w:r>
      <w:proofErr w:type="spellEnd"/>
      <w:r w:rsidRPr="002E4AF9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di fotocamere, controllo dei trasporti di animali, riferimento per sincronizzazione oraria internazionale.</w:t>
      </w:r>
    </w:p>
    <w:p w14:paraId="75A08381" w14:textId="77777777" w:rsidR="00294004" w:rsidRDefault="002E4A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Grazie a strumenti </w:t>
      </w:r>
      <w:r>
        <w:rPr>
          <w:rFonts w:ascii="Arial" w:hAnsi="Arial"/>
          <w:b w:val="0"/>
          <w:bCs w:val="0"/>
          <w:color w:val="000000" w:themeColor="text1"/>
        </w:rPr>
        <w:t>quali</w:t>
      </w:r>
      <w:r>
        <w:rPr>
          <w:rFonts w:ascii="Arial" w:hAnsi="Arial"/>
          <w:b w:val="0"/>
          <w:bCs w:val="0"/>
        </w:rPr>
        <w:t xml:space="preserve"> il kit di valutazione, il Würth Elektronik Navigation Satellite Software (WENSS) e alla consulenza in loco da parte di ingegneri, anche gli sviluppatori che integrano per la prima volta la determinazione della posizione nel loro prodotto possono ottenere rapidamente risultati ottimali.</w:t>
      </w:r>
    </w:p>
    <w:p w14:paraId="29E1E313" w14:textId="77777777" w:rsidR="00294004" w:rsidRDefault="002940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9D12971" w14:textId="77777777" w:rsidR="00294004" w:rsidRDefault="002940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82FB036" w14:textId="783480CA" w:rsidR="00294004" w:rsidRDefault="0029400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C45C4E2" w14:textId="77777777" w:rsidR="002E4AF9" w:rsidRPr="004D044E" w:rsidRDefault="002E4AF9" w:rsidP="002E4AF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113DCCC8" w14:textId="7B6F1E61" w:rsidR="002E4AF9" w:rsidRDefault="002E4AF9" w:rsidP="002E4AF9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294004" w14:paraId="1243548D" w14:textId="77777777">
        <w:trPr>
          <w:trHeight w:val="1701"/>
        </w:trPr>
        <w:tc>
          <w:tcPr>
            <w:tcW w:w="3510" w:type="dxa"/>
          </w:tcPr>
          <w:p w14:paraId="6887F17D" w14:textId="77777777" w:rsidR="00294004" w:rsidRDefault="002E4AF9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34D8D08B" wp14:editId="7CC53A23">
                  <wp:extent cx="1800000" cy="180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83B80" w14:textId="77777777" w:rsidR="00294004" w:rsidRDefault="002E4AF9">
            <w:pPr>
              <w:pStyle w:val="txt"/>
              <w:rPr>
                <w:b/>
                <w:bCs/>
                <w:sz w:val="18"/>
              </w:rPr>
            </w:pPr>
            <w:r>
              <w:rPr>
                <w:bCs/>
                <w:sz w:val="16"/>
                <w:szCs w:val="16"/>
              </w:rPr>
              <w:t>Foto di: Würth Elektronik</w:t>
            </w:r>
          </w:p>
          <w:p w14:paraId="681F7756" w14:textId="77777777" w:rsidR="00294004" w:rsidRDefault="002E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Modulo GNSS Erinome I (18 mm × 18 mm × 6,4 mm, con antenna)</w:t>
            </w:r>
          </w:p>
          <w:p w14:paraId="1A321648" w14:textId="77777777" w:rsidR="00294004" w:rsidRDefault="002940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14:paraId="0E8D7B30" w14:textId="77777777" w:rsidR="00294004" w:rsidRDefault="002E4AF9">
            <w:pPr>
              <w:pStyle w:val="txt"/>
              <w:jc w:val="center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35544228" wp14:editId="7C7AD2AB">
                  <wp:extent cx="1800000" cy="180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B884C" w14:textId="77777777" w:rsidR="00294004" w:rsidRDefault="002E4AF9">
            <w:pPr>
              <w:pStyle w:val="txt"/>
              <w:rPr>
                <w:b/>
                <w:bCs/>
                <w:sz w:val="18"/>
              </w:rPr>
            </w:pPr>
            <w:r>
              <w:rPr>
                <w:bCs/>
                <w:sz w:val="16"/>
                <w:szCs w:val="16"/>
              </w:rPr>
              <w:t>Foto di: Würth Elektronik</w:t>
            </w:r>
          </w:p>
          <w:p w14:paraId="0968BDBB" w14:textId="77777777" w:rsidR="00294004" w:rsidRDefault="002E4AF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Modulo GNSS Erinome II (7 mm × 7 mm × 1,6 mm, senza antenna integrata)</w:t>
            </w:r>
          </w:p>
        </w:tc>
      </w:tr>
    </w:tbl>
    <w:p w14:paraId="3C0F5FBE" w14:textId="6B47FBAC" w:rsidR="00294004" w:rsidRDefault="00294004">
      <w:pPr>
        <w:pStyle w:val="PITextkrper"/>
        <w:rPr>
          <w:b/>
          <w:bCs/>
          <w:sz w:val="18"/>
          <w:szCs w:val="18"/>
        </w:rPr>
      </w:pPr>
    </w:p>
    <w:p w14:paraId="5E549408" w14:textId="77777777" w:rsidR="002E4AF9" w:rsidRPr="004C0F82" w:rsidRDefault="002E4AF9" w:rsidP="002E4A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DBFD743" w14:textId="77777777" w:rsidR="002E4AF9" w:rsidRPr="004C0F82" w:rsidRDefault="002E4AF9" w:rsidP="002E4AF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3B215CE" w14:textId="77777777" w:rsidR="002E4AF9" w:rsidRDefault="002E4AF9" w:rsidP="002E4AF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11FB7268" w14:textId="77777777" w:rsidR="002E4AF9" w:rsidRPr="0004050A" w:rsidRDefault="002E4AF9" w:rsidP="002E4AF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7660A8EA" w14:textId="77777777" w:rsidR="002E4AF9" w:rsidRPr="00212CFC" w:rsidRDefault="002E4AF9" w:rsidP="002E4AF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</w:t>
      </w:r>
      <w:proofErr w:type="spellStart"/>
      <w:r w:rsidRPr="00212CFC">
        <w:rPr>
          <w:rFonts w:ascii="Arial" w:hAnsi="Arial"/>
          <w:b w:val="0"/>
          <w:lang w:val="en-US"/>
        </w:rPr>
        <w:t>CEM</w:t>
      </w:r>
      <w:proofErr w:type="spellEnd"/>
      <w:r w:rsidRPr="00212CFC">
        <w:rPr>
          <w:rFonts w:ascii="Arial" w:hAnsi="Arial"/>
          <w:b w:val="0"/>
          <w:lang w:val="en-US"/>
        </w:rPr>
        <w:t xml:space="preserve">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753D0E7E" w14:textId="77777777" w:rsidR="002E4AF9" w:rsidRPr="00212CFC" w:rsidRDefault="002E4AF9" w:rsidP="002E4AF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4261F0C8" w14:textId="77777777" w:rsidR="002E4AF9" w:rsidRPr="00212CFC" w:rsidRDefault="002E4AF9" w:rsidP="002E4AF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425F0FFC" w14:textId="77777777" w:rsidR="002E4AF9" w:rsidRDefault="002E4AF9" w:rsidP="002E4AF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lastRenderedPageBreak/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53F4FC87" w14:textId="77777777" w:rsidR="002E4AF9" w:rsidRPr="00BB2A0F" w:rsidRDefault="002E4AF9" w:rsidP="002E4AF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7888B9E8" w14:textId="77777777" w:rsidR="002E4AF9" w:rsidRDefault="002E4AF9" w:rsidP="002E4AF9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3050E494" w14:textId="77777777" w:rsidR="002E4AF9" w:rsidRPr="00212CFC" w:rsidRDefault="002E4AF9" w:rsidP="002E4AF9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E4AF9" w:rsidRPr="00625C04" w14:paraId="12691224" w14:textId="77777777" w:rsidTr="009566DA">
        <w:tc>
          <w:tcPr>
            <w:tcW w:w="3902" w:type="dxa"/>
            <w:shd w:val="clear" w:color="auto" w:fill="auto"/>
            <w:hideMark/>
          </w:tcPr>
          <w:p w14:paraId="2A5DDFCD" w14:textId="77777777" w:rsidR="002E4AF9" w:rsidRPr="00A06F99" w:rsidRDefault="002E4AF9" w:rsidP="009566D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6E5F93BC" w14:textId="77777777" w:rsidR="002E4AF9" w:rsidRPr="00A06F99" w:rsidRDefault="002E4AF9" w:rsidP="009566DA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63B39273" w14:textId="77777777" w:rsidR="002E4AF9" w:rsidRPr="00A06F99" w:rsidRDefault="002E4AF9" w:rsidP="009566D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7B06290E" w14:textId="77777777" w:rsidR="002E4AF9" w:rsidRPr="00625C04" w:rsidRDefault="002E4AF9" w:rsidP="009566D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3661F1C7" w14:textId="77777777" w:rsidR="002E4AF9" w:rsidRPr="00625C04" w:rsidRDefault="002E4AF9" w:rsidP="009566D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6852426" w14:textId="77777777" w:rsidR="002E4AF9" w:rsidRPr="00625C04" w:rsidRDefault="002E4AF9" w:rsidP="009566DA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1CC8C33D" w14:textId="77777777" w:rsidR="002E4AF9" w:rsidRPr="00625C04" w:rsidRDefault="002E4AF9" w:rsidP="009566D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5CF6B12F" w14:textId="77777777" w:rsidR="002E4AF9" w:rsidRPr="00625C04" w:rsidRDefault="002E4AF9" w:rsidP="009566D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7EF8307C" w14:textId="77777777" w:rsidR="002E4AF9" w:rsidRPr="00625C04" w:rsidRDefault="002E4AF9" w:rsidP="009566D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3E9A3C0" w14:textId="77777777" w:rsidR="002E4AF9" w:rsidRPr="002C689E" w:rsidRDefault="002E4AF9" w:rsidP="002E4AF9">
      <w:pPr>
        <w:pStyle w:val="Textkrper"/>
        <w:spacing w:before="120" w:after="120" w:line="276" w:lineRule="auto"/>
      </w:pPr>
    </w:p>
    <w:p w14:paraId="438EF4DD" w14:textId="77777777" w:rsidR="002E4AF9" w:rsidRDefault="002E4AF9">
      <w:pPr>
        <w:pStyle w:val="PITextkrper"/>
        <w:rPr>
          <w:b/>
          <w:bCs/>
          <w:sz w:val="18"/>
          <w:szCs w:val="18"/>
        </w:rPr>
      </w:pPr>
    </w:p>
    <w:sectPr w:rsidR="002E4AF9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26FD" w14:textId="77777777" w:rsidR="00294004" w:rsidRDefault="002E4AF9">
      <w:r>
        <w:separator/>
      </w:r>
    </w:p>
  </w:endnote>
  <w:endnote w:type="continuationSeparator" w:id="0">
    <w:p w14:paraId="1A79F9B5" w14:textId="77777777" w:rsidR="00294004" w:rsidRDefault="002E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E364D" w14:textId="08CC74FF" w:rsidR="00294004" w:rsidRDefault="002E4AF9">
    <w:pPr>
      <w:pStyle w:val="Fuzeile"/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2B7EB6">
      <w:rPr>
        <w:rFonts w:ascii="Arial" w:hAnsi="Arial" w:cs="Arial"/>
        <w:noProof/>
        <w:snapToGrid w:val="0"/>
        <w:sz w:val="16"/>
        <w:szCs w:val="16"/>
      </w:rPr>
      <w:t>WTH1PI870_it.docx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0D7AB" w14:textId="77777777" w:rsidR="00294004" w:rsidRDefault="002E4AF9">
      <w:r>
        <w:separator/>
      </w:r>
    </w:p>
  </w:footnote>
  <w:footnote w:type="continuationSeparator" w:id="0">
    <w:p w14:paraId="1E719003" w14:textId="77777777" w:rsidR="00294004" w:rsidRDefault="002E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300D1" w14:textId="77777777" w:rsidR="00294004" w:rsidRDefault="002E4AF9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7346879E" wp14:editId="73CDB7B3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04"/>
    <w:rsid w:val="00294004"/>
    <w:rsid w:val="002B7EB6"/>
    <w:rsid w:val="002E4AF9"/>
    <w:rsid w:val="0063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540190C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.iotsolutionoptimize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C830-38B5-43ED-AAC9-86ADE8C5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5089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Turgay Albayrak</cp:lastModifiedBy>
  <cp:revision>4</cp:revision>
  <cp:lastPrinted>2017-06-23T08:32:00Z</cp:lastPrinted>
  <dcterms:created xsi:type="dcterms:W3CDTF">2021-04-14T13:54:00Z</dcterms:created>
  <dcterms:modified xsi:type="dcterms:W3CDTF">2021-04-15T09:15:00Z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